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0"/>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9674"/>
        <w:gridCol w:w="969"/>
        <w:gridCol w:w="1034"/>
        <w:gridCol w:w="1192"/>
      </w:tblGrid>
      <w:tr w:rsidR="006C375D" w:rsidRPr="00ED2B73" w:rsidTr="0015514D">
        <w:trPr>
          <w:trHeight w:val="565"/>
        </w:trPr>
        <w:tc>
          <w:tcPr>
            <w:tcW w:w="13340" w:type="dxa"/>
            <w:gridSpan w:val="5"/>
            <w:shd w:val="clear" w:color="auto" w:fill="DAEEF3"/>
            <w:noWrap/>
            <w:vAlign w:val="center"/>
            <w:hideMark/>
          </w:tcPr>
          <w:p w:rsidR="006C375D" w:rsidRPr="00ED2B73" w:rsidRDefault="006C375D" w:rsidP="0015514D">
            <w:pPr>
              <w:suppressAutoHyphens w:val="0"/>
              <w:spacing w:after="0"/>
              <w:ind w:left="-142"/>
              <w:jc w:val="center"/>
              <w:rPr>
                <w:rFonts w:ascii="Arial Narrow" w:hAnsi="Arial Narrow"/>
                <w:b/>
                <w:bCs/>
                <w:color w:val="000000"/>
                <w:sz w:val="18"/>
                <w:szCs w:val="18"/>
              </w:rPr>
            </w:pPr>
            <w:r w:rsidRPr="00ED2B73">
              <w:rPr>
                <w:rFonts w:ascii="Arial Narrow" w:hAnsi="Arial Narrow"/>
                <w:b/>
                <w:bCs/>
                <w:color w:val="000000"/>
                <w:sz w:val="18"/>
                <w:szCs w:val="18"/>
                <w:lang w:val="el-GR"/>
              </w:rPr>
              <w:t>ΦΥΛΛΟ ΣΥ</w:t>
            </w:r>
            <w:r>
              <w:rPr>
                <w:rFonts w:ascii="Arial Narrow" w:hAnsi="Arial Narrow"/>
                <w:b/>
                <w:bCs/>
                <w:color w:val="000000"/>
                <w:sz w:val="18"/>
                <w:szCs w:val="18"/>
                <w:lang w:val="el-GR"/>
              </w:rPr>
              <w:t>Μ</w:t>
            </w:r>
            <w:r w:rsidRPr="00ED2B73">
              <w:rPr>
                <w:rFonts w:ascii="Arial Narrow" w:hAnsi="Arial Narrow"/>
                <w:b/>
                <w:bCs/>
                <w:color w:val="000000"/>
                <w:sz w:val="18"/>
                <w:szCs w:val="18"/>
                <w:lang w:val="el-GR"/>
              </w:rPr>
              <w:t xml:space="preserve">ΜΟΡΦΩΣΗΣ </w:t>
            </w:r>
          </w:p>
        </w:tc>
      </w:tr>
      <w:tr w:rsidR="006C375D" w:rsidRPr="00ED2B73" w:rsidTr="0015514D">
        <w:trPr>
          <w:trHeight w:val="885"/>
        </w:trPr>
        <w:tc>
          <w:tcPr>
            <w:tcW w:w="471"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A/A</w:t>
            </w:r>
          </w:p>
        </w:tc>
        <w:tc>
          <w:tcPr>
            <w:tcW w:w="9674" w:type="dxa"/>
            <w:shd w:val="clear" w:color="auto" w:fill="DAEEF3"/>
            <w:vAlign w:val="center"/>
            <w:hideMark/>
          </w:tcPr>
          <w:p w:rsidR="006C375D" w:rsidRPr="00ED2B73" w:rsidRDefault="006C375D" w:rsidP="0015514D">
            <w:pPr>
              <w:jc w:val="center"/>
              <w:rPr>
                <w:rFonts w:ascii="Arial Narrow" w:hAnsi="Arial Narrow"/>
                <w:b/>
                <w:bCs/>
                <w:color w:val="000000"/>
                <w:sz w:val="18"/>
                <w:szCs w:val="18"/>
                <w:lang w:val="el-GR"/>
              </w:rPr>
            </w:pPr>
            <w:r w:rsidRPr="00ED2B73">
              <w:rPr>
                <w:rFonts w:ascii="Arial Narrow" w:hAnsi="Arial Narrow"/>
                <w:b/>
                <w:bCs/>
                <w:color w:val="000000"/>
                <w:sz w:val="18"/>
                <w:szCs w:val="18"/>
                <w:lang w:val="el-GR"/>
              </w:rPr>
              <w:br/>
              <w:t xml:space="preserve">ΤΕΧΝΙΚΕΣ ΠΡΟΔΙΑΓΡΑΦΕΣ ΓΙΑ ΤΗΝ ΠΡΟΛΗΠΤΙΚΗ &amp; ΕΠΑΝΟΡΘΩΤΙΚΗ </w:t>
            </w:r>
            <w:r w:rsidRPr="00ED2B73">
              <w:rPr>
                <w:rFonts w:ascii="Arial Narrow" w:hAnsi="Arial Narrow"/>
                <w:b/>
                <w:bCs/>
                <w:color w:val="000000"/>
                <w:sz w:val="18"/>
                <w:szCs w:val="18"/>
                <w:lang w:val="el-GR"/>
              </w:rPr>
              <w:br/>
              <w:t>ΣΥΝΤΗΡΗΣΗ ΤΩΝ ΥΠΕΡΗΧΩΝ (ΓΕΝΙΚΟ, ΚΑΡΔΙΟΛΟΓΙΚΟ, ΜΑΙΕΥΤΙΚΟ)</w:t>
            </w:r>
          </w:p>
        </w:tc>
        <w:tc>
          <w:tcPr>
            <w:tcW w:w="969"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ΑΠΑΙΤΗΣΗ</w:t>
            </w:r>
          </w:p>
        </w:tc>
        <w:tc>
          <w:tcPr>
            <w:tcW w:w="1034"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ΑΠΑΝΤΗΣΗ</w:t>
            </w:r>
          </w:p>
        </w:tc>
        <w:tc>
          <w:tcPr>
            <w:tcW w:w="1192" w:type="dxa"/>
            <w:shd w:val="clear" w:color="auto" w:fill="DAEEF3"/>
            <w:noWrap/>
            <w:vAlign w:val="center"/>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ΠΑΡΑΠΟΜΠΗ</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w:t>
            </w:r>
          </w:p>
        </w:tc>
        <w:tc>
          <w:tcPr>
            <w:tcW w:w="9674" w:type="dxa"/>
            <w:shd w:val="clear" w:color="auto" w:fill="auto"/>
            <w:vAlign w:val="bottom"/>
            <w:hideMark/>
          </w:tcPr>
          <w:p w:rsidR="006C375D" w:rsidRPr="00ED2B73" w:rsidRDefault="006C375D" w:rsidP="0015514D">
            <w:pPr>
              <w:rPr>
                <w:rFonts w:ascii="Arial Narrow" w:hAnsi="Arial Narrow"/>
                <w:b/>
                <w:bCs/>
                <w:color w:val="000000"/>
                <w:sz w:val="18"/>
                <w:szCs w:val="18"/>
              </w:rPr>
            </w:pPr>
            <w:r w:rsidRPr="00ED2B73">
              <w:rPr>
                <w:rFonts w:ascii="Arial Narrow" w:hAnsi="Arial Narrow"/>
                <w:b/>
                <w:bCs/>
                <w:color w:val="000000"/>
                <w:sz w:val="18"/>
                <w:szCs w:val="18"/>
              </w:rPr>
              <w:t xml:space="preserve">Επανορθωτική Συντήρηση (Απεριόριστος Αριθμός):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1.1</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Παροχή υπηρεσιών τηλεφωνικής υποστήριξης και βοήθειας για την επίλυση προβλημάτων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47"/>
        </w:trPr>
        <w:tc>
          <w:tcPr>
            <w:tcW w:w="471" w:type="dxa"/>
            <w:shd w:val="clear" w:color="auto" w:fill="auto"/>
            <w:noWrap/>
            <w:vAlign w:val="center"/>
            <w:hideMark/>
          </w:tcPr>
          <w:p w:rsidR="006C375D" w:rsidRPr="00ED2B73" w:rsidRDefault="006C375D" w:rsidP="0015514D">
            <w:pPr>
              <w:jc w:val="left"/>
              <w:rPr>
                <w:rFonts w:ascii="Arial Narrow" w:hAnsi="Arial Narrow"/>
                <w:b/>
                <w:bCs/>
                <w:color w:val="000000"/>
                <w:sz w:val="18"/>
                <w:szCs w:val="18"/>
              </w:rPr>
            </w:pPr>
            <w:r w:rsidRPr="00ED2B73">
              <w:rPr>
                <w:rFonts w:ascii="Arial Narrow" w:hAnsi="Arial Narrow"/>
                <w:b/>
                <w:bCs/>
                <w:color w:val="000000"/>
                <w:sz w:val="18"/>
                <w:szCs w:val="18"/>
              </w:rPr>
              <w:t>1.2</w:t>
            </w:r>
          </w:p>
        </w:tc>
        <w:tc>
          <w:tcPr>
            <w:tcW w:w="9674" w:type="dxa"/>
            <w:shd w:val="clear" w:color="auto" w:fill="auto"/>
            <w:vAlign w:val="center"/>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Ανταπόκριση τεχνικού στους χώρους της αναθέτουσας αρχής για την επίλυση των προβλημάτων του υποστηριζόμενου εξοπλισμού. Κάθε φορά που υπάρχει οποιοδήποτε πρόβλημα η μετάβαση τεχνικού της αναδόχου θα γίνεται </w:t>
            </w:r>
            <w:r w:rsidRPr="00C20C7C">
              <w:rPr>
                <w:rFonts w:ascii="Arial Narrow" w:hAnsi="Arial Narrow"/>
                <w:b/>
                <w:color w:val="000000"/>
                <w:sz w:val="18"/>
                <w:szCs w:val="18"/>
                <w:lang w:val="el-GR"/>
              </w:rPr>
              <w:t>εντός εβδομήντα δύο (72) ωρών</w:t>
            </w:r>
            <w:r w:rsidRPr="00ED2B73">
              <w:rPr>
                <w:rFonts w:ascii="Arial Narrow" w:hAnsi="Arial Narrow"/>
                <w:color w:val="000000"/>
                <w:sz w:val="18"/>
                <w:szCs w:val="18"/>
                <w:lang w:val="el-GR"/>
              </w:rPr>
              <w:t xml:space="preserve"> από την τηλεφωνική ή γραπτή πρόσκληση της αναθέτουσας αρχής.</w:t>
            </w:r>
          </w:p>
        </w:tc>
        <w:tc>
          <w:tcPr>
            <w:tcW w:w="969" w:type="dxa"/>
            <w:shd w:val="clear" w:color="auto" w:fill="auto"/>
            <w:noWrap/>
            <w:vAlign w:val="center"/>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center"/>
            <w:hideMark/>
          </w:tcPr>
          <w:p w:rsidR="006C375D" w:rsidRPr="00ED2B73" w:rsidRDefault="006C375D" w:rsidP="0015514D">
            <w:pPr>
              <w:jc w:val="left"/>
              <w:rPr>
                <w:rFonts w:ascii="Arial Narrow" w:hAnsi="Arial Narrow"/>
                <w:color w:val="000000"/>
                <w:sz w:val="18"/>
                <w:szCs w:val="18"/>
              </w:rPr>
            </w:pPr>
          </w:p>
        </w:tc>
        <w:tc>
          <w:tcPr>
            <w:tcW w:w="1192" w:type="dxa"/>
            <w:shd w:val="clear" w:color="auto" w:fill="auto"/>
            <w:noWrap/>
            <w:vAlign w:val="center"/>
            <w:hideMark/>
          </w:tcPr>
          <w:p w:rsidR="006C375D" w:rsidRPr="00ED2B73" w:rsidRDefault="006C375D" w:rsidP="0015514D">
            <w:pPr>
              <w:jc w:val="left"/>
              <w:rPr>
                <w:rFonts w:ascii="Arial Narrow" w:hAnsi="Arial Narrow"/>
                <w:color w:val="000000"/>
                <w:sz w:val="18"/>
                <w:szCs w:val="18"/>
              </w:rPr>
            </w:pPr>
          </w:p>
        </w:tc>
      </w:tr>
      <w:tr w:rsidR="006C375D" w:rsidRPr="00ED2B73" w:rsidTr="0015514D">
        <w:trPr>
          <w:trHeight w:val="52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1.3</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Διάγνωση και αποκατάσταση βλαβώ</w:t>
            </w:r>
            <w:r>
              <w:rPr>
                <w:rFonts w:ascii="Arial Narrow" w:hAnsi="Arial Narrow"/>
                <w:color w:val="000000"/>
                <w:sz w:val="18"/>
                <w:szCs w:val="18"/>
                <w:lang w:val="el-GR"/>
              </w:rPr>
              <w:t xml:space="preserve">ν και ζημιών που οφείλονται σε  </w:t>
            </w:r>
            <w:r w:rsidRPr="00ED2B73">
              <w:rPr>
                <w:rFonts w:ascii="Arial Narrow" w:hAnsi="Arial Narrow"/>
                <w:color w:val="000000"/>
                <w:sz w:val="18"/>
                <w:szCs w:val="18"/>
                <w:lang w:val="el-GR"/>
              </w:rPr>
              <w:t>φυσιολογική φθορ</w:t>
            </w:r>
            <w:r>
              <w:rPr>
                <w:rFonts w:ascii="Arial Narrow" w:hAnsi="Arial Narrow"/>
                <w:color w:val="000000"/>
                <w:sz w:val="18"/>
                <w:szCs w:val="18"/>
                <w:lang w:val="el-GR"/>
              </w:rPr>
              <w:t>ά από τη συνήθη χρήση εντός δύο</w:t>
            </w:r>
            <w:r w:rsidRPr="00ED2B73">
              <w:rPr>
                <w:rFonts w:ascii="Arial Narrow" w:hAnsi="Arial Narrow"/>
                <w:color w:val="000000"/>
                <w:sz w:val="18"/>
                <w:szCs w:val="18"/>
                <w:lang w:val="el-GR"/>
              </w:rPr>
              <w:t xml:space="preserve"> (2) εργάσιμων ημερών.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Διάθεση γνήσιων  ή συμβατών ανταλλακτικών για την επίλυση των προβλημάτων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C20C7C" w:rsidTr="0015514D">
        <w:trPr>
          <w:trHeight w:val="657"/>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1.5</w:t>
            </w:r>
          </w:p>
        </w:tc>
        <w:tc>
          <w:tcPr>
            <w:tcW w:w="9674" w:type="dxa"/>
            <w:shd w:val="clear" w:color="auto" w:fill="auto"/>
            <w:vAlign w:val="bottom"/>
            <w:hideMark/>
          </w:tcPr>
          <w:p w:rsidR="006C375D" w:rsidRPr="00037964"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Αντικατάσταση των φθαρμένων ανταλλακτικών από</w:t>
            </w:r>
            <w:r>
              <w:rPr>
                <w:rFonts w:ascii="Arial Narrow" w:hAnsi="Arial Narrow"/>
                <w:color w:val="000000"/>
                <w:sz w:val="18"/>
                <w:szCs w:val="18"/>
                <w:lang w:val="el-GR"/>
              </w:rPr>
              <w:t xml:space="preserve"> τη συνήθη χρήση με καινούρια, </w:t>
            </w:r>
            <w:r w:rsidRPr="00ED2B73">
              <w:rPr>
                <w:rFonts w:ascii="Arial Narrow" w:hAnsi="Arial Narrow"/>
                <w:color w:val="000000"/>
                <w:sz w:val="18"/>
                <w:szCs w:val="18"/>
                <w:lang w:val="el-GR"/>
              </w:rPr>
              <w:t>εξαιρουμένων των 3</w:t>
            </w:r>
            <w:r w:rsidRPr="00ED2B73">
              <w:rPr>
                <w:rFonts w:ascii="Arial Narrow" w:hAnsi="Arial Narrow"/>
                <w:color w:val="000000"/>
                <w:sz w:val="18"/>
                <w:szCs w:val="18"/>
              </w:rPr>
              <w:t>D</w:t>
            </w:r>
            <w:r w:rsidRPr="00ED2B73">
              <w:rPr>
                <w:rFonts w:ascii="Arial Narrow" w:hAnsi="Arial Narrow"/>
                <w:color w:val="000000"/>
                <w:sz w:val="18"/>
                <w:szCs w:val="18"/>
                <w:lang w:val="el-GR"/>
              </w:rPr>
              <w:t>/4</w:t>
            </w:r>
            <w:r w:rsidRPr="00ED2B73">
              <w:rPr>
                <w:rFonts w:ascii="Arial Narrow" w:hAnsi="Arial Narrow"/>
                <w:color w:val="000000"/>
                <w:sz w:val="18"/>
                <w:szCs w:val="18"/>
              </w:rPr>
              <w:t>D</w:t>
            </w:r>
            <w:r w:rsidRPr="00ED2B73">
              <w:rPr>
                <w:rFonts w:ascii="Arial Narrow" w:hAnsi="Arial Narrow"/>
                <w:color w:val="000000"/>
                <w:sz w:val="18"/>
                <w:szCs w:val="18"/>
                <w:lang w:val="el-GR"/>
              </w:rPr>
              <w:t xml:space="preserve"> κεφαλών*, των περιφερειακώ</w:t>
            </w:r>
            <w:r>
              <w:rPr>
                <w:rFonts w:ascii="Arial Narrow" w:hAnsi="Arial Narrow"/>
                <w:color w:val="000000"/>
                <w:sz w:val="18"/>
                <w:szCs w:val="18"/>
                <w:lang w:val="el-GR"/>
              </w:rPr>
              <w:t xml:space="preserve">ν </w:t>
            </w:r>
            <w:r w:rsidRPr="00037964">
              <w:rPr>
                <w:rFonts w:ascii="Arial Narrow" w:hAnsi="Arial Narrow"/>
                <w:color w:val="000000"/>
                <w:sz w:val="18"/>
                <w:szCs w:val="18"/>
                <w:lang w:val="el-GR"/>
              </w:rPr>
              <w:t xml:space="preserve">μονάδων τρίτων κατασκευαστών (εκτυπωτές, </w:t>
            </w:r>
            <w:r w:rsidRPr="00037964">
              <w:rPr>
                <w:rFonts w:ascii="Arial Narrow" w:hAnsi="Arial Narrow"/>
                <w:color w:val="000000"/>
                <w:sz w:val="18"/>
                <w:szCs w:val="18"/>
              </w:rPr>
              <w:t>video</w:t>
            </w:r>
            <w:r w:rsidRPr="00037964">
              <w:rPr>
                <w:rFonts w:ascii="Arial Narrow" w:hAnsi="Arial Narrow"/>
                <w:color w:val="000000"/>
                <w:sz w:val="18"/>
                <w:szCs w:val="18"/>
                <w:lang w:val="el-GR"/>
              </w:rPr>
              <w:t xml:space="preserve">) και των αναλωσίμων υλικών, όπως π.χ. </w:t>
            </w:r>
            <w:proofErr w:type="spellStart"/>
            <w:r w:rsidRPr="00037964">
              <w:rPr>
                <w:rFonts w:ascii="Arial Narrow" w:hAnsi="Arial Narrow"/>
                <w:color w:val="000000"/>
                <w:sz w:val="18"/>
                <w:szCs w:val="18"/>
                <w:lang w:val="el-GR"/>
              </w:rPr>
              <w:t>τζελ</w:t>
            </w:r>
            <w:proofErr w:type="spellEnd"/>
            <w:r w:rsidRPr="00037964">
              <w:rPr>
                <w:rFonts w:ascii="Arial Narrow" w:hAnsi="Arial Narrow"/>
                <w:color w:val="000000"/>
                <w:sz w:val="18"/>
                <w:szCs w:val="18"/>
                <w:lang w:val="el-GR"/>
              </w:rPr>
              <w:t xml:space="preserve">, </w:t>
            </w:r>
            <w:r w:rsidRPr="00037964">
              <w:rPr>
                <w:rFonts w:ascii="Arial Narrow" w:hAnsi="Arial Narrow"/>
                <w:color w:val="000000"/>
                <w:sz w:val="18"/>
                <w:szCs w:val="18"/>
              </w:rPr>
              <w:t>films</w:t>
            </w:r>
            <w:r w:rsidRPr="00037964">
              <w:rPr>
                <w:rFonts w:ascii="Arial Narrow" w:hAnsi="Arial Narrow"/>
                <w:color w:val="000000"/>
                <w:sz w:val="18"/>
                <w:szCs w:val="18"/>
                <w:lang w:val="el-GR"/>
              </w:rPr>
              <w:t xml:space="preserve">, μέσα αποθήκευσης κλπ. </w:t>
            </w:r>
            <w:r w:rsidRPr="00037964">
              <w:rPr>
                <w:rFonts w:ascii="Arial Narrow" w:hAnsi="Arial Narrow"/>
                <w:sz w:val="18"/>
                <w:szCs w:val="18"/>
                <w:lang w:val="el-GR"/>
              </w:rPr>
              <w:t>Για τα είδη (1), (2) και (3) απαιτείται να κατατεθεί πίνακας με οικονομική δαπάνη ανά κεφαλή η οποία θα είναι δεσμευτική για τον ανάδοχο για όλη τη διάρκεια της σύμβασης.</w:t>
            </w:r>
          </w:p>
        </w:tc>
        <w:tc>
          <w:tcPr>
            <w:tcW w:w="969"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C20C7C">
              <w:rPr>
                <w:rFonts w:ascii="Arial Narrow" w:hAnsi="Arial Narrow"/>
                <w:color w:val="000000"/>
                <w:sz w:val="18"/>
                <w:szCs w:val="18"/>
                <w:lang w:val="el-GR"/>
              </w:rPr>
              <w:t>ΝΑΙ</w:t>
            </w:r>
          </w:p>
        </w:tc>
        <w:tc>
          <w:tcPr>
            <w:tcW w:w="1034"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C20C7C"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037964" w:rsidTr="0015514D">
        <w:trPr>
          <w:trHeight w:val="1093"/>
        </w:trPr>
        <w:tc>
          <w:tcPr>
            <w:tcW w:w="471" w:type="dxa"/>
            <w:shd w:val="clear" w:color="auto" w:fill="auto"/>
            <w:noWrap/>
            <w:vAlign w:val="bottom"/>
            <w:hideMark/>
          </w:tcPr>
          <w:p w:rsidR="006C375D" w:rsidRPr="00C20C7C" w:rsidRDefault="006C375D" w:rsidP="0015514D">
            <w:pPr>
              <w:jc w:val="center"/>
              <w:rPr>
                <w:rFonts w:ascii="Arial Narrow" w:hAnsi="Arial Narrow"/>
                <w:b/>
                <w:bCs/>
                <w:color w:val="000000"/>
                <w:sz w:val="18"/>
                <w:szCs w:val="18"/>
                <w:lang w:val="el-GR"/>
              </w:rPr>
            </w:pPr>
            <w:r w:rsidRPr="00ED2B73">
              <w:rPr>
                <w:rFonts w:ascii="Arial Narrow" w:hAnsi="Arial Narrow"/>
                <w:b/>
                <w:bCs/>
                <w:color w:val="000000"/>
                <w:sz w:val="18"/>
                <w:szCs w:val="18"/>
              </w:rPr>
              <w:t> </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b/>
                <w:bCs/>
                <w:color w:val="000000"/>
                <w:sz w:val="18"/>
                <w:szCs w:val="18"/>
                <w:u w:val="single"/>
                <w:lang w:val="el-GR"/>
              </w:rPr>
              <w:t>ΕΙΔΙΚΟΣ ΟΡΟΣ:</w:t>
            </w:r>
            <w:r w:rsidRPr="00ED2B73">
              <w:rPr>
                <w:rFonts w:ascii="Arial Narrow" w:hAnsi="Arial Narrow"/>
                <w:color w:val="000000"/>
                <w:sz w:val="18"/>
                <w:szCs w:val="18"/>
                <w:lang w:val="el-GR"/>
              </w:rPr>
              <w:t xml:space="preserve"> Σχετικά με την απαίτηση της αντικατάστασης μίας κεφαλής ετησίως ανά μηχάνημα, το Νοσοκομείο διατηρεί το δικαίωμα της ενεργοποίησης ή μη της υπηρεσίας αυτής, ανάλογα με τις ανάγκες της Νοσηλευτικής Μονάδας και να κατατεθεί πίνακας με οικονομική δαπάνη ανά κεφαλή η οποία θα είναι δεσμευτική για τον ανάδοχο για όλη τη διάρκεια της σύμβασης. </w:t>
            </w:r>
          </w:p>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Το Νοσοκομείο διατηρεί τη δυνατότητα είτε να ενεργοποιήσει την υπηρεσία αντικατάστασης της κεφαλής με βάσει την κατατεθείσα οικονομική προσφορά είτε να προβεί σε πρόσκληση εκδήλωσης ενδιαφέροντος για την ανάδειξη αναδόχων προμήθειας </w:t>
            </w:r>
            <w:r>
              <w:rPr>
                <w:rFonts w:ascii="Arial Narrow" w:hAnsi="Arial Narrow"/>
                <w:color w:val="000000"/>
                <w:sz w:val="18"/>
                <w:szCs w:val="18"/>
                <w:lang w:val="el-GR"/>
              </w:rPr>
              <w:t xml:space="preserve">των κεφαλών για όλα τα είδη του ανωτέρω Πίνακα. </w:t>
            </w:r>
          </w:p>
        </w:tc>
        <w:tc>
          <w:tcPr>
            <w:tcW w:w="969"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037964">
              <w:rPr>
                <w:rFonts w:ascii="Arial Narrow" w:hAnsi="Arial Narrow"/>
                <w:color w:val="000000"/>
                <w:sz w:val="18"/>
                <w:szCs w:val="18"/>
                <w:lang w:val="el-GR"/>
              </w:rPr>
              <w:t>ΝΑΙ</w:t>
            </w:r>
          </w:p>
        </w:tc>
        <w:tc>
          <w:tcPr>
            <w:tcW w:w="1034"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64751B" w:rsidTr="0015514D">
        <w:trPr>
          <w:trHeight w:val="792"/>
        </w:trPr>
        <w:tc>
          <w:tcPr>
            <w:tcW w:w="471" w:type="dxa"/>
            <w:shd w:val="clear" w:color="auto" w:fill="auto"/>
            <w:noWrap/>
            <w:vAlign w:val="bottom"/>
            <w:hideMark/>
          </w:tcPr>
          <w:p w:rsidR="006C375D" w:rsidRPr="00037964" w:rsidRDefault="006C375D" w:rsidP="0015514D">
            <w:pPr>
              <w:jc w:val="center"/>
              <w:rPr>
                <w:rFonts w:ascii="Arial Narrow" w:hAnsi="Arial Narrow"/>
                <w:b/>
                <w:bCs/>
                <w:color w:val="000000"/>
                <w:sz w:val="18"/>
                <w:szCs w:val="18"/>
                <w:lang w:val="el-GR"/>
              </w:rPr>
            </w:pPr>
            <w:r w:rsidRPr="00037964">
              <w:rPr>
                <w:rFonts w:ascii="Arial Narrow" w:hAnsi="Arial Narrow"/>
                <w:b/>
                <w:bCs/>
                <w:color w:val="000000"/>
                <w:sz w:val="18"/>
                <w:szCs w:val="18"/>
                <w:lang w:val="el-GR"/>
              </w:rPr>
              <w:t>1.6</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Αναβαθμίσεις, διορθωτικές επεμβάσεις, τροποποιήσεις ασφαλείας του υποστηριζόμενου εξοπλισμού, που κατά καιρούς εκδίδονται από τον κατασκευαστικό οίκο και χαρακτηρίζονται ως απαραίτητες, θα παρέχονται δωρεάν προς την αναθέτουσα αρχή, όπως επίσης και τα σχετικά γνήσια  ή συμβατά ανταλλακτικά.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lang w:val="el-GR"/>
              </w:rPr>
              <w:t xml:space="preserve">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525"/>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1.7</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Δέσμευση για την άμεση εφαρμογή των συμβουλευτικών οδηγιών από την ημέρα έκδοσης τους από τ</w:t>
            </w:r>
            <w:r>
              <w:rPr>
                <w:rFonts w:ascii="Arial Narrow" w:hAnsi="Arial Narrow"/>
                <w:color w:val="000000"/>
                <w:sz w:val="18"/>
                <w:szCs w:val="18"/>
                <w:lang w:val="el-GR"/>
              </w:rPr>
              <w:t xml:space="preserve">ον οίκο, σχετικά με διορθωτικές </w:t>
            </w:r>
            <w:r w:rsidRPr="00ED2B73">
              <w:rPr>
                <w:rFonts w:ascii="Arial Narrow" w:hAnsi="Arial Narrow"/>
                <w:color w:val="000000"/>
                <w:sz w:val="18"/>
                <w:szCs w:val="18"/>
                <w:lang w:val="el-GR"/>
              </w:rPr>
              <w:t>επεμβάσεις και τροποποιήσεις ασφαλείας και τεχνολογικών εξελίξεων, σύμφωνα με το Σύστημα</w:t>
            </w:r>
            <w:r>
              <w:rPr>
                <w:rFonts w:ascii="Arial Narrow" w:hAnsi="Arial Narrow"/>
                <w:color w:val="000000"/>
                <w:sz w:val="18"/>
                <w:szCs w:val="18"/>
                <w:lang w:val="el-GR"/>
              </w:rPr>
              <w:t xml:space="preserve"> Επαγρύπνησης Ιατροτεχνολογικού </w:t>
            </w:r>
            <w:r w:rsidRPr="00ED2B73">
              <w:rPr>
                <w:rFonts w:ascii="Arial Narrow" w:hAnsi="Arial Narrow"/>
                <w:color w:val="000000"/>
                <w:sz w:val="18"/>
                <w:szCs w:val="18"/>
                <w:lang w:val="el-GR"/>
              </w:rPr>
              <w:t>Εξοπλισμού.</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w:t>
            </w:r>
          </w:p>
        </w:tc>
        <w:tc>
          <w:tcPr>
            <w:tcW w:w="9674" w:type="dxa"/>
            <w:shd w:val="clear" w:color="auto" w:fill="auto"/>
            <w:vAlign w:val="bottom"/>
            <w:hideMark/>
          </w:tcPr>
          <w:p w:rsidR="006C375D" w:rsidRPr="00ED2B73" w:rsidRDefault="006C375D" w:rsidP="0015514D">
            <w:pPr>
              <w:rPr>
                <w:rFonts w:ascii="Arial Narrow" w:hAnsi="Arial Narrow"/>
                <w:b/>
                <w:bCs/>
                <w:color w:val="000000"/>
                <w:sz w:val="18"/>
                <w:szCs w:val="18"/>
              </w:rPr>
            </w:pPr>
            <w:r w:rsidRPr="00ED2B73">
              <w:rPr>
                <w:rFonts w:ascii="Arial Narrow" w:hAnsi="Arial Narrow"/>
                <w:b/>
                <w:bCs/>
                <w:color w:val="000000"/>
                <w:sz w:val="18"/>
                <w:szCs w:val="18"/>
              </w:rPr>
              <w:t xml:space="preserve">Προληπτική Συντήρηση: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037964" w:rsidTr="0015514D">
        <w:trPr>
          <w:trHeight w:val="52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2.1</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Επίσκεψη και έλεγχο του υποστηριζόμενου εξοπλισμού υποχρεωτικώς σύμφωνα</w:t>
            </w:r>
            <w:r>
              <w:rPr>
                <w:rFonts w:ascii="Arial Narrow" w:hAnsi="Arial Narrow"/>
                <w:color w:val="000000"/>
                <w:sz w:val="18"/>
                <w:szCs w:val="18"/>
                <w:lang w:val="el-GR"/>
              </w:rPr>
              <w:t xml:space="preserve"> </w:t>
            </w:r>
            <w:r w:rsidRPr="00ED2B73">
              <w:rPr>
                <w:rFonts w:ascii="Arial Narrow" w:hAnsi="Arial Narrow"/>
                <w:color w:val="000000"/>
                <w:sz w:val="18"/>
                <w:szCs w:val="18"/>
                <w:lang w:val="el-GR"/>
              </w:rPr>
              <w:t xml:space="preserve">με τον  αναγραφόμενο στον πίνακα αριθμό προληπτικών συντηρήσεων. </w:t>
            </w:r>
          </w:p>
        </w:tc>
        <w:tc>
          <w:tcPr>
            <w:tcW w:w="969"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037964">
              <w:rPr>
                <w:rFonts w:ascii="Arial Narrow" w:hAnsi="Arial Narrow"/>
                <w:color w:val="000000"/>
                <w:sz w:val="18"/>
                <w:szCs w:val="18"/>
                <w:lang w:val="el-GR"/>
              </w:rPr>
              <w:t>ΝΑΙ</w:t>
            </w:r>
          </w:p>
        </w:tc>
        <w:tc>
          <w:tcPr>
            <w:tcW w:w="1034"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037964"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528"/>
        </w:trPr>
        <w:tc>
          <w:tcPr>
            <w:tcW w:w="471" w:type="dxa"/>
            <w:shd w:val="clear" w:color="auto" w:fill="auto"/>
            <w:noWrap/>
            <w:vAlign w:val="bottom"/>
            <w:hideMark/>
          </w:tcPr>
          <w:p w:rsidR="006C375D" w:rsidRPr="00037964" w:rsidRDefault="006C375D" w:rsidP="0015514D">
            <w:pPr>
              <w:jc w:val="center"/>
              <w:rPr>
                <w:rFonts w:ascii="Arial Narrow" w:hAnsi="Arial Narrow"/>
                <w:b/>
                <w:bCs/>
                <w:color w:val="000000"/>
                <w:sz w:val="18"/>
                <w:szCs w:val="18"/>
                <w:lang w:val="el-GR"/>
              </w:rPr>
            </w:pPr>
            <w:r w:rsidRPr="00037964">
              <w:rPr>
                <w:rFonts w:ascii="Arial Narrow" w:hAnsi="Arial Narrow"/>
                <w:b/>
                <w:bCs/>
                <w:color w:val="000000"/>
                <w:sz w:val="18"/>
                <w:szCs w:val="18"/>
                <w:lang w:val="el-GR"/>
              </w:rPr>
              <w:t>2.2</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Έλεγχο και πιθανή επιδιόρθωση των ρυθμίσεων</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καθώς κ</w:t>
            </w:r>
            <w:r>
              <w:rPr>
                <w:rFonts w:ascii="Arial Narrow" w:hAnsi="Arial Narrow"/>
                <w:color w:val="000000"/>
                <w:sz w:val="18"/>
                <w:szCs w:val="18"/>
                <w:lang w:val="el-GR"/>
              </w:rPr>
              <w:t xml:space="preserve">αι των παραμέτρων ασφαλείας του υποστηριζόμενου </w:t>
            </w:r>
            <w:r w:rsidRPr="00ED2B73">
              <w:rPr>
                <w:rFonts w:ascii="Arial Narrow" w:hAnsi="Arial Narrow"/>
                <w:color w:val="000000"/>
                <w:sz w:val="18"/>
                <w:szCs w:val="18"/>
                <w:lang w:val="el-GR"/>
              </w:rPr>
              <w:t xml:space="preserve">εξοπλισμού, σύμφωνα με τις σχετικές οδηγίες του κατασκευαστικού οίκου.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Αντικατάσταση τυχόν φθαρμένων ανταλλακτικών με γνήσια ή συμβατά ποιοτικά ελεγμένα ανταλλακτικά.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Εσωτερικ</w:t>
            </w:r>
            <w:r>
              <w:rPr>
                <w:rFonts w:ascii="Arial Narrow" w:hAnsi="Arial Narrow"/>
                <w:color w:val="000000"/>
                <w:sz w:val="18"/>
                <w:szCs w:val="18"/>
                <w:lang w:val="el-GR"/>
              </w:rPr>
              <w:t xml:space="preserve">ό καθαρισμό του υποστηριζόμενου </w:t>
            </w:r>
            <w:r w:rsidRPr="00ED2B73">
              <w:rPr>
                <w:rFonts w:ascii="Arial Narrow" w:hAnsi="Arial Narrow"/>
                <w:color w:val="000000"/>
                <w:sz w:val="18"/>
                <w:szCs w:val="18"/>
                <w:lang w:val="el-GR"/>
              </w:rPr>
              <w:t xml:space="preserve">εξοπλισμού όπου αυτό είναι δυνατό.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33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2.5</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Έλεγχο της καλής λειτουργίας του υποστηριζόμενου εξοπλι</w:t>
            </w:r>
            <w:r>
              <w:rPr>
                <w:rFonts w:ascii="Arial Narrow" w:hAnsi="Arial Narrow"/>
                <w:color w:val="000000"/>
                <w:sz w:val="18"/>
                <w:szCs w:val="18"/>
                <w:lang w:val="el-GR"/>
              </w:rPr>
              <w:t xml:space="preserve">σμού, δηλαδή έλεγχο ικανότητας </w:t>
            </w:r>
            <w:r w:rsidRPr="00ED2B73">
              <w:rPr>
                <w:rFonts w:ascii="Arial Narrow" w:hAnsi="Arial Narrow"/>
                <w:color w:val="000000"/>
                <w:sz w:val="18"/>
                <w:szCs w:val="18"/>
                <w:lang w:val="el-GR"/>
              </w:rPr>
              <w:t>λειτουργίας και καλής απόδοσης συνολικά.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2.6</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Λήψη κάθε προληπτικού μέτρου για την αποφυγή τυχόν ανωμαλιών ή ζημιών στη λειτουργία του υποστηριζόμενου εξοπλισμού.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2.7</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Αναβαθμίσεις λογισμικού, όταν διατίθενται δωρεάν από τον κατασκευαστικό οίκο.</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να διαθέτει κατάλληλα εκπαιδευμένο προσωπικό. Επιπλέον, η προληπτική συντήρηση και η αποκατάσταση βλάβης θα γίνεται με τα απαιτούμενα  εργαλεία και όργανα μετρήσεων και ελέγχου από το ειδικευμένο προσωπικό της αναδόχου. Η Ανάδοχος Εταιρεία είναι υποχρεωμένη για την επίλυση των προβλημάτων του υποστηριζόμενου εξοπλισμού, να χρησιμοποιεί  γνήσια ή συμβατά ανταλλακτικά.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1056"/>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με την υπογραφή της σχετικής Σύμβασης, να αποστείλει στην Νοσηλευτική Μονάδα ημερολογιακό </w:t>
            </w:r>
            <w:r w:rsidRPr="00ED2B73">
              <w:rPr>
                <w:rFonts w:ascii="Arial Narrow" w:hAnsi="Arial Narrow"/>
                <w:color w:val="000000"/>
                <w:sz w:val="18"/>
                <w:szCs w:val="18"/>
                <w:lang w:val="el-GR"/>
              </w:rPr>
              <w:br/>
              <w:t>πρόγραμμα προληπτικών συντηρήσεων και αναλυτικών εργασιών ανά συντήρηση</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το οποίο κατόπιν σχετικής εγκρίσεως</w:t>
            </w:r>
            <w:r>
              <w:rPr>
                <w:rFonts w:ascii="Arial Narrow" w:hAnsi="Arial Narrow"/>
                <w:color w:val="000000"/>
                <w:sz w:val="18"/>
                <w:szCs w:val="18"/>
                <w:lang w:val="el-GR"/>
              </w:rPr>
              <w:t>, θα είναι αυτό που θα ισχύει</w:t>
            </w:r>
            <w:r w:rsidRPr="00ED2B73">
              <w:rPr>
                <w:rFonts w:ascii="Arial Narrow" w:hAnsi="Arial Narrow"/>
                <w:color w:val="000000"/>
                <w:sz w:val="18"/>
                <w:szCs w:val="18"/>
                <w:lang w:val="el-GR"/>
              </w:rPr>
              <w:t>. Για λόγους ανωτέρας βίας και κατόπιν συνεννοήσεως της Αναδόχου και της Αναθέτουσας Αρχής, είναι δυνατή η μεταφορά της ημερομηνίας διεξαγωγής της προληπτικής συντήρησης. Δεν επιτρέπεται η μεταφορά πέραν της μίας (1) ημερομηνίας προληπτικής συντήρησης για μία (1) φορά.</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F92839" w:rsidTr="0015514D">
        <w:trPr>
          <w:trHeight w:val="1848"/>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5</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υποχρεούται να παραδίδει με το πέρας της Σύμβασης τον εξοπλισμό σε άριστη λειτουργική κατάσταση και να γνωρίζει στην Αναθέτουσα Αρχή τυχόν κωδικούς ασφαλείας ή κωδικούς άδειας χρήσης που χρησιμοποίησε για απαγόρευση πρόσβασης στον εξοπλισμό κατά το συμβατικό διάστημα ή να τους επαναφέρει στους εργοστασιακούς κωδικούς τους οποίους θα γνωστοποιεί στην αναθέτουσα αρχή. Επιπλέον, σε περίπτωση που προκύψει οποιοδήποτε πρόβλημα στον εξοπλισμό την τελευταία εβδομάδα συντηρήσεως, εφόσον έχει ενημερωθεί αρμοδίως η Ανάδοχος Εταιρεία (Τηλεφωνικά ή μέσω </w:t>
            </w:r>
            <w:r w:rsidRPr="00ED2B73">
              <w:rPr>
                <w:rFonts w:ascii="Arial Narrow" w:hAnsi="Arial Narrow"/>
                <w:color w:val="000000"/>
                <w:sz w:val="18"/>
                <w:szCs w:val="18"/>
              </w:rPr>
              <w:t>email</w:t>
            </w:r>
            <w:r w:rsidRPr="00ED2B73">
              <w:rPr>
                <w:rFonts w:ascii="Arial Narrow" w:hAnsi="Arial Narrow"/>
                <w:color w:val="000000"/>
                <w:sz w:val="18"/>
                <w:szCs w:val="18"/>
                <w:lang w:val="el-GR"/>
              </w:rPr>
              <w:t>) η τελευταία οφείλει να μεταβεί και να αποκαταστήσει τη βλάβη και πέραν των συμβατικών ημερομηνιών χωρίς χρέωση. Το ίδιο ισχύει και στην περίπτωση που έχει πραγματοποιηθεί διάγνωση της βλάβης, πλην όμως για λόγους ανωτέρας βίας (π</w:t>
            </w:r>
            <w:r>
              <w:rPr>
                <w:rFonts w:ascii="Arial Narrow" w:hAnsi="Arial Narrow"/>
                <w:color w:val="000000"/>
                <w:sz w:val="18"/>
                <w:szCs w:val="18"/>
                <w:lang w:val="el-GR"/>
              </w:rPr>
              <w:t>.</w:t>
            </w:r>
            <w:r w:rsidRPr="00ED2B73">
              <w:rPr>
                <w:rFonts w:ascii="Arial Narrow" w:hAnsi="Arial Narrow"/>
                <w:color w:val="000000"/>
                <w:sz w:val="18"/>
                <w:szCs w:val="18"/>
                <w:lang w:val="el-GR"/>
              </w:rPr>
              <w:t>χ</w:t>
            </w:r>
            <w:r>
              <w:rPr>
                <w:rFonts w:ascii="Arial Narrow" w:hAnsi="Arial Narrow"/>
                <w:color w:val="000000"/>
                <w:sz w:val="18"/>
                <w:szCs w:val="18"/>
                <w:lang w:val="el-GR"/>
              </w:rPr>
              <w:t>.</w:t>
            </w:r>
            <w:r w:rsidRPr="00ED2B73">
              <w:rPr>
                <w:rFonts w:ascii="Arial Narrow" w:hAnsi="Arial Narrow"/>
                <w:color w:val="000000"/>
                <w:sz w:val="18"/>
                <w:szCs w:val="18"/>
                <w:lang w:val="el-GR"/>
              </w:rPr>
              <w:t xml:space="preserve"> χρόνος παράδοσης ανταλλακτικού) δεν είναι δυνατή η αποκατάσταση της βλάβης και η παράδοση του εξοπλισμού σε άριστη κατάσταση. </w:t>
            </w:r>
          </w:p>
        </w:tc>
        <w:tc>
          <w:tcPr>
            <w:tcW w:w="969"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F92839">
              <w:rPr>
                <w:rFonts w:ascii="Arial Narrow" w:hAnsi="Arial Narrow"/>
                <w:color w:val="000000"/>
                <w:sz w:val="18"/>
                <w:szCs w:val="18"/>
                <w:lang w:val="el-GR"/>
              </w:rPr>
              <w:t>ΝΑΙ</w:t>
            </w:r>
          </w:p>
        </w:tc>
        <w:tc>
          <w:tcPr>
            <w:tcW w:w="1034"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F92839"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706"/>
        </w:trPr>
        <w:tc>
          <w:tcPr>
            <w:tcW w:w="471" w:type="dxa"/>
            <w:shd w:val="clear" w:color="auto" w:fill="auto"/>
            <w:noWrap/>
            <w:vAlign w:val="bottom"/>
            <w:hideMark/>
          </w:tcPr>
          <w:p w:rsidR="006C375D" w:rsidRPr="00F92839" w:rsidRDefault="006C375D" w:rsidP="0015514D">
            <w:pPr>
              <w:jc w:val="center"/>
              <w:rPr>
                <w:rFonts w:ascii="Arial Narrow" w:hAnsi="Arial Narrow"/>
                <w:b/>
                <w:bCs/>
                <w:color w:val="000000"/>
                <w:sz w:val="18"/>
                <w:szCs w:val="18"/>
                <w:lang w:val="el-GR"/>
              </w:rPr>
            </w:pPr>
            <w:r w:rsidRPr="00F92839">
              <w:rPr>
                <w:rFonts w:ascii="Arial Narrow" w:hAnsi="Arial Narrow"/>
                <w:b/>
                <w:bCs/>
                <w:color w:val="000000"/>
                <w:sz w:val="18"/>
                <w:szCs w:val="18"/>
                <w:lang w:val="el-GR"/>
              </w:rPr>
              <w:t>6</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Σε περίπτωση βλάβης η αποκατάσταση θα γίνεται όλες τις ημέρες της εβδομάδας (μη συμπεριλαμβανομένων εορτών, αργιών, Σαββάτου και Κυριακής) από ώρα 07:00 έως 15:00 και πέραν αυτού του ωραρίου κατόπιν συνεννοήσεως και συμφωνίας  το Τεχνικό Τμήμα της  Νοσηλευτικής Μονάδας. Η αποκατάσταση των βλαβών, όσες φορές και αν συμβούν, θα γίνεται χωρίς  αμοιβή όσον αφορά τις εργασίες και τα απαιτούμενα ανταλλακτικά, όπου η Σύμβαση ορίζει. Η προσέλευση του τεχνικού προσωπικού της αναδόχου πρέπει να γίνεται εντός </w:t>
            </w:r>
            <w:r>
              <w:rPr>
                <w:rFonts w:ascii="Arial Narrow" w:hAnsi="Arial Narrow"/>
                <w:color w:val="000000"/>
                <w:sz w:val="18"/>
                <w:szCs w:val="18"/>
                <w:lang w:val="el-GR"/>
              </w:rPr>
              <w:t>εβδομήντα δύο (72</w:t>
            </w:r>
            <w:r w:rsidRPr="00ED2B73">
              <w:rPr>
                <w:rFonts w:ascii="Arial Narrow" w:hAnsi="Arial Narrow"/>
                <w:color w:val="000000"/>
                <w:sz w:val="18"/>
                <w:szCs w:val="18"/>
                <w:lang w:val="el-GR"/>
              </w:rPr>
              <w:t xml:space="preserve">) ωρών από τη λήψη της προφορικής ή έγγραφης ειδοποίησης εκ μέρους της αναθέτουσας αρχής. Εάν δεν προσέλθει εμπροθέσμως το τεχνικό προσωπικό της αναδόχου για την παροχή των υπηρεσιών του (είτε σε προγραμματισμένη συντήρηση είτε κατόπιν ειδοποιήσεως της αναθέτουσας αρχής), για κάθε είκοσι τέσσερεις  (24)  ώρες καθυστέρησης, θα καταπίπτει εις βάρος της αναδόχου, κατόπιν αποφάσεως του </w:t>
            </w:r>
            <w:r w:rsidRPr="00ED2B73">
              <w:rPr>
                <w:rFonts w:ascii="Arial Narrow" w:hAnsi="Arial Narrow"/>
                <w:color w:val="000000"/>
                <w:sz w:val="18"/>
                <w:szCs w:val="18"/>
                <w:lang w:val="el-GR"/>
              </w:rPr>
              <w:lastRenderedPageBreak/>
              <w:t xml:space="preserve">Διοικητικού Συμβουλίου της αναθέτουσας αρχής, ως ποινική ρήτρα ποσό ίσο με </w:t>
            </w:r>
            <w:r>
              <w:rPr>
                <w:rFonts w:ascii="Arial Narrow" w:hAnsi="Arial Narrow"/>
                <w:color w:val="000000"/>
                <w:sz w:val="18"/>
                <w:szCs w:val="18"/>
                <w:lang w:val="el-GR"/>
              </w:rPr>
              <w:t>διακόσια πενήντα</w:t>
            </w:r>
            <w:r w:rsidRPr="00ED2B73">
              <w:rPr>
                <w:rFonts w:ascii="Arial Narrow" w:hAnsi="Arial Narrow"/>
                <w:color w:val="000000"/>
                <w:sz w:val="18"/>
                <w:szCs w:val="18"/>
                <w:lang w:val="el-GR"/>
              </w:rPr>
              <w:t xml:space="preserve"> (</w:t>
            </w:r>
            <w:r>
              <w:rPr>
                <w:rFonts w:ascii="Arial Narrow" w:hAnsi="Arial Narrow"/>
                <w:color w:val="000000"/>
                <w:sz w:val="18"/>
                <w:szCs w:val="18"/>
                <w:lang w:val="el-GR"/>
              </w:rPr>
              <w:t>250</w:t>
            </w:r>
            <w:r w:rsidRPr="00ED2B73">
              <w:rPr>
                <w:rFonts w:ascii="Arial Narrow" w:hAnsi="Arial Narrow"/>
                <w:color w:val="000000"/>
                <w:sz w:val="18"/>
                <w:szCs w:val="18"/>
                <w:lang w:val="el-GR"/>
              </w:rPr>
              <w:t xml:space="preserve">) ευρώ. Η παρακράτηση των ποσών της ποινικής ρήτρας θα γίνεται με αφαίρεση από την αμοιβή ή αν αυτό δεν είναι επαρκές από την εγγυητική επιστολή είτε τέλος με κάθε νόμιμο τρόπο. Σε αμφότερες τις περιπτώσεις η αναθέτουσα αρχή διατηρεί παράλληλα και το δικαίωμα καταγγελίας της σύμβασης και κήρυξης της αναδόχου έκπτωτου. Η επιτρεπόμενη διάρκεια ακινητοποίησης μηχανήματος συμφωνείται ρητά σε διακόσιες σαράντα  (240) ώρες ανά έτος ανά συντηρούμενο μηχάνημα. Ως χρόνος ακινητοποίησης ορίζεται ο χρόνος ακινητοποίησης των επί μέρους αυτόνομων λειτουργικών μονάδων ή του συνόλου του μηχανήματος κατά τον οποίο δεν ήταν δυνατή η διενέργεια – αντιμετώπιση περιστατικού. Ο χρόνος θα προσμετράται αθροιστικά από την ειδοποίηση της Αναδόχου (εξαιρουμένων Αργιών και Σαββάτου-Κυριακής) για επισκευή, η οποία κλήση θα γίνεται με αποστολή </w:t>
            </w:r>
            <w:r w:rsidRPr="00ED2B73">
              <w:rPr>
                <w:rFonts w:ascii="Arial Narrow" w:hAnsi="Arial Narrow"/>
                <w:color w:val="000000"/>
                <w:sz w:val="18"/>
                <w:szCs w:val="18"/>
              </w:rPr>
              <w:t>Fax</w:t>
            </w:r>
            <w:r w:rsidRPr="00ED2B73">
              <w:rPr>
                <w:rFonts w:ascii="Arial Narrow" w:hAnsi="Arial Narrow"/>
                <w:color w:val="000000"/>
                <w:sz w:val="18"/>
                <w:szCs w:val="18"/>
                <w:lang w:val="el-GR"/>
              </w:rPr>
              <w:t xml:space="preserve"> ή </w:t>
            </w:r>
            <w:r w:rsidRPr="00ED2B73">
              <w:rPr>
                <w:rFonts w:ascii="Arial Narrow" w:hAnsi="Arial Narrow"/>
                <w:color w:val="000000"/>
                <w:sz w:val="18"/>
                <w:szCs w:val="18"/>
              </w:rPr>
              <w:t>email</w:t>
            </w:r>
            <w:r w:rsidRPr="00ED2B73">
              <w:rPr>
                <w:rFonts w:ascii="Arial Narrow" w:hAnsi="Arial Narrow"/>
                <w:color w:val="000000"/>
                <w:sz w:val="18"/>
                <w:szCs w:val="18"/>
                <w:lang w:val="el-GR"/>
              </w:rPr>
              <w:t>, σε αριθμό/διεύθυνση που θα υποδειχθεί από την Ανάδοχο με την προσφορά της, από Δευτέρα έως και Παρασκευή και από ώρες 07:00 έως 15:00. Ο χρόνος αυτός δεν περιλαμβάνει το χρόνο προληπτικής συντήρησης καθώς και εργασιών αναβάθμισης του μηχανήματος. Ως ώρες ακινητοποίησης θα λογίζονται το σύνολο των ωρών του 24ωρου από την ώρα ειδοποίησης της Αναδόχου, όπως αυτή ορίζεται παραπάνω, μέχρι την πλήρη αποκατάσταση της βλάβης.</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lastRenderedPageBreak/>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813"/>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7</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Σε κάθε επίσκεψη τεχνικού της Αναδόχου Εταιρείας, ο τεχνικός υποχρεούται να εκδίδει Δελτίο Εργασίας Τεχνικού (</w:t>
            </w:r>
            <w:r w:rsidRPr="00ED2B73">
              <w:rPr>
                <w:rFonts w:ascii="Arial Narrow" w:hAnsi="Arial Narrow"/>
                <w:color w:val="000000"/>
                <w:sz w:val="18"/>
                <w:szCs w:val="18"/>
              </w:rPr>
              <w:t>Service</w:t>
            </w:r>
            <w:r w:rsidRPr="00ED2B73">
              <w:rPr>
                <w:rFonts w:ascii="Arial Narrow" w:hAnsi="Arial Narrow"/>
                <w:color w:val="000000"/>
                <w:sz w:val="18"/>
                <w:szCs w:val="18"/>
                <w:lang w:val="el-GR"/>
              </w:rPr>
              <w:t xml:space="preserve"> </w:t>
            </w:r>
            <w:r w:rsidRPr="00ED2B73">
              <w:rPr>
                <w:rFonts w:ascii="Arial Narrow" w:hAnsi="Arial Narrow"/>
                <w:color w:val="000000"/>
                <w:sz w:val="18"/>
                <w:szCs w:val="18"/>
              </w:rPr>
              <w:t>Report</w:t>
            </w:r>
            <w:r w:rsidRPr="00ED2B73">
              <w:rPr>
                <w:rFonts w:ascii="Arial Narrow" w:hAnsi="Arial Narrow"/>
                <w:color w:val="000000"/>
                <w:sz w:val="18"/>
                <w:szCs w:val="18"/>
                <w:lang w:val="el-GR"/>
              </w:rPr>
              <w:t xml:space="preserve">) μετά από κάθε επίσκεψη προληπτικής συντήρησης ή αποκατάστασης βλαβών, στο οποίο θα αναφέρονται αναλυτικά όλες οι βλάβες που παρουσιάσθηκαν, οι εργασίες που έχουν εκτελεστεί, τα ανταλλακτικά που αντικαταστάθηκαν καθώς και αυτά που χρήζουν αντικαταστάσεως και να το παραδίδει στο Τμήμα Βιοϊατρικής Τεχνολογίας  ή στο Τεχνικό Τμήμα της Νοσηλευτικής Μονάδας.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8</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είναι υπεύθυνη για την αποκατάσταση κάθε ζημίας ή βλάβης που θα προκληθεί στο προσωπικό και στις εγκαταστάσεις του Νοσοκομείου ή σε οιονδήποτε τρίτο, εφ' όσον αυτή οφείλεται σε υπαιτιότητα του χρησιμοποιουμένου υπ' αυτής προσωπικού. Η Ανάδοχος Εταιρεία δέχεται τις ευθύνες που της αναλογούν από το νόμο και τη σύμβαση.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rPr>
            </w:pPr>
            <w:r w:rsidRPr="00ED2B73">
              <w:rPr>
                <w:rFonts w:ascii="Arial Narrow" w:hAnsi="Arial Narrow"/>
                <w:color w:val="000000"/>
                <w:sz w:val="18"/>
                <w:szCs w:val="18"/>
              </w:rPr>
              <w:t>Η Ανάδοχος Εταιρεία υποχρεούται:</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319"/>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9.1</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Να καταθέσει με την προσφορά της βεβαιώσεις καλής συνεργασίας από άλλα Δημόσια  ή Ιδιωτικά Νοσηλευτικά Ιδρύματα.</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1246"/>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9.2</w:t>
            </w:r>
          </w:p>
        </w:tc>
        <w:tc>
          <w:tcPr>
            <w:tcW w:w="9674" w:type="dxa"/>
            <w:shd w:val="clear" w:color="auto" w:fill="auto"/>
            <w:vAlign w:val="bottom"/>
            <w:hideMark/>
          </w:tcPr>
          <w:p w:rsidR="006C375D" w:rsidRPr="00ED2B73" w:rsidRDefault="006C375D" w:rsidP="0015514D">
            <w:pPr>
              <w:jc w:val="left"/>
              <w:rPr>
                <w:rFonts w:ascii="Arial Narrow" w:hAnsi="Arial Narrow"/>
                <w:color w:val="000000"/>
                <w:sz w:val="18"/>
                <w:szCs w:val="18"/>
                <w:lang w:val="el-GR"/>
              </w:rPr>
            </w:pPr>
            <w:r w:rsidRPr="00ED2B73">
              <w:rPr>
                <w:rFonts w:ascii="Arial Narrow" w:hAnsi="Arial Narrow"/>
                <w:color w:val="000000"/>
                <w:sz w:val="18"/>
                <w:szCs w:val="18"/>
                <w:lang w:val="el-GR"/>
              </w:rPr>
              <w:t xml:space="preserve">Να καταθέσει Υπεύθυνη Δήλωση σύμφωνα με την οποία η ανάδοχος εταιρεία θα δεσμεύεται για την εξασφάλιση επάρκειας ανταλλακτικών  προκειμένου η συντήρηση, η αποκατάσταση βλαβών και οι τεχνικές ενημερώσεις του συντηρούμενου εξοπλισμού να πραγματοποιούνται σύμφωνα με τις υποδείξεις και κατευθυντήριες οδηγίες του κατασκευαστικού οίκου. </w:t>
            </w:r>
            <w:r w:rsidRPr="00ED2B73">
              <w:rPr>
                <w:rFonts w:ascii="Arial Narrow" w:hAnsi="Arial Narrow"/>
                <w:color w:val="000000"/>
                <w:sz w:val="18"/>
                <w:szCs w:val="18"/>
                <w:lang w:val="el-GR"/>
              </w:rPr>
              <w:br/>
              <w:t xml:space="preserve">Σε περίπτωση που διαπιστωθεί από την Αναθέτουσα Αρχή κατά τη διάρκεια εκτέλεσης της Σύμβασης Τεχνικής Υποστήριξης, ότι ο ανωτέρω όρος δεν καλύπτεται, αυτό αποτελεί λόγο διακοπής της χωρίς περαιτέρω αποζημίωση για την ανάδοχο, ενώ θα καταπίπτει εις βάρος της αναδόχου η εγγυητική επιστολή καλής εκτέλεσης (5% επί της καθαρής αξίας της Σύμβασης) και θα κηρύσσεται αυτόματα έκπτωτος.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100AF1" w:rsidTr="0015514D">
        <w:trPr>
          <w:trHeight w:val="115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10</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Νοσηλευτική Μονάδα διατηρεί το δικαίωμα διακοπής της Σύμβασης συντήρησης για ένα ή περισσότερα μηχανήματα που κρίνει ότι είναι πλέον ασύμφορη οικονομικά ή τεχνικά η συνέχισή της (π.χ. ανανέωση εξοπλισμού, παρωχημένη Τεχνολογία, τακτικές ή συνεχιζόμενες βλάβες, έλλειψη κύριου ανταλλακτικού λειτουργίας λόγω κατάργησής του από τη γραμμή παραγωγής κ.τ.λ.). Η διακοπή θα ισχύει εφόσον έχει ειδοποιηθεί εγγράφως η Ανάδοχος Εταιρεία, από τη Νοσηλευτική Μονάδα τουλάχιστον δεκαπέντε (15) ημέρες νωρίτερα, ώστε να μη συνεχιστεί η τιμολόγηση συντήρησης για το παραμένον υπόλοιπο χρονικό διάστη</w:t>
            </w:r>
            <w:r>
              <w:rPr>
                <w:rFonts w:ascii="Arial Narrow" w:hAnsi="Arial Narrow"/>
                <w:color w:val="000000"/>
                <w:sz w:val="18"/>
                <w:szCs w:val="18"/>
                <w:lang w:val="el-GR"/>
              </w:rPr>
              <w:t xml:space="preserve">μα (αποζημίωση ανά επίσκεψη). </w:t>
            </w:r>
            <w:r w:rsidRPr="00ED2B73">
              <w:rPr>
                <w:rFonts w:ascii="Arial Narrow" w:hAnsi="Arial Narrow"/>
                <w:color w:val="000000"/>
                <w:sz w:val="18"/>
                <w:szCs w:val="18"/>
                <w:lang w:val="el-GR"/>
              </w:rPr>
              <w:t xml:space="preserve">     </w:t>
            </w:r>
          </w:p>
        </w:tc>
        <w:tc>
          <w:tcPr>
            <w:tcW w:w="969"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100AF1">
              <w:rPr>
                <w:rFonts w:ascii="Arial Narrow" w:hAnsi="Arial Narrow"/>
                <w:color w:val="000000"/>
                <w:sz w:val="18"/>
                <w:szCs w:val="18"/>
                <w:lang w:val="el-GR"/>
              </w:rPr>
              <w:t>ΝΑΙ</w:t>
            </w:r>
          </w:p>
        </w:tc>
        <w:tc>
          <w:tcPr>
            <w:tcW w:w="1034"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100AF1" w:rsidRDefault="006C375D" w:rsidP="0015514D">
            <w:pPr>
              <w:jc w:val="center"/>
              <w:rPr>
                <w:rFonts w:ascii="Arial Narrow" w:hAnsi="Arial Narrow"/>
                <w:color w:val="000000"/>
                <w:sz w:val="18"/>
                <w:szCs w:val="18"/>
                <w:lang w:val="el-GR"/>
              </w:rPr>
            </w:pPr>
            <w:r w:rsidRPr="00ED2B73">
              <w:rPr>
                <w:rFonts w:ascii="Arial Narrow" w:hAnsi="Arial Narrow"/>
                <w:color w:val="000000"/>
                <w:sz w:val="18"/>
                <w:szCs w:val="18"/>
              </w:rPr>
              <w:t> </w:t>
            </w:r>
          </w:p>
        </w:tc>
      </w:tr>
      <w:tr w:rsidR="006C375D" w:rsidRPr="00ED2B73" w:rsidTr="0015514D">
        <w:trPr>
          <w:trHeight w:val="377"/>
        </w:trPr>
        <w:tc>
          <w:tcPr>
            <w:tcW w:w="471" w:type="dxa"/>
            <w:shd w:val="clear" w:color="auto" w:fill="auto"/>
            <w:noWrap/>
            <w:vAlign w:val="bottom"/>
            <w:hideMark/>
          </w:tcPr>
          <w:p w:rsidR="006C375D" w:rsidRPr="00100AF1" w:rsidRDefault="006C375D" w:rsidP="0015514D">
            <w:pPr>
              <w:jc w:val="center"/>
              <w:rPr>
                <w:rFonts w:ascii="Arial Narrow" w:hAnsi="Arial Narrow"/>
                <w:b/>
                <w:bCs/>
                <w:color w:val="000000"/>
                <w:sz w:val="18"/>
                <w:szCs w:val="18"/>
                <w:lang w:val="el-GR"/>
              </w:rPr>
            </w:pPr>
            <w:r w:rsidRPr="00100AF1">
              <w:rPr>
                <w:rFonts w:ascii="Arial Narrow" w:hAnsi="Arial Narrow"/>
                <w:b/>
                <w:bCs/>
                <w:color w:val="000000"/>
                <w:sz w:val="18"/>
                <w:szCs w:val="18"/>
                <w:lang w:val="el-GR"/>
              </w:rPr>
              <w:t>11</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προσφορά, επί ποινή απορρίψεως, θα πρέπει απαραιτήτως να φέρει πλήρη και συνεχή αρίθμηση των σελίδων της σε επίπεδο ακεραίων αριθμών.</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792"/>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lastRenderedPageBreak/>
              <w:t>12</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προσφορά, επί ποινή απορρίψεως, θα συνοδεύεται απαραίτητα από Φύλλο Συμμόρφωσης Τεχνικών Προδιαγραφών υπό μορφή πίνακα, όπου στην αριστερή στήλη θα αναγράφεται η ζητούμενη προδιαγραφή και στη δεξιά στήλη θα κατατίθεται η Συμμόρφωση της Αναδόχου Εταιρείας, αποδεικνυόμενη από παραπομπή/</w:t>
            </w:r>
            <w:proofErr w:type="spellStart"/>
            <w:r w:rsidRPr="00ED2B73">
              <w:rPr>
                <w:rFonts w:ascii="Arial Narrow" w:hAnsi="Arial Narrow"/>
                <w:color w:val="000000"/>
                <w:sz w:val="18"/>
                <w:szCs w:val="18"/>
                <w:lang w:val="el-GR"/>
              </w:rPr>
              <w:t>ές</w:t>
            </w:r>
            <w:proofErr w:type="spellEnd"/>
            <w:r w:rsidRPr="00ED2B73">
              <w:rPr>
                <w:rFonts w:ascii="Arial Narrow" w:hAnsi="Arial Narrow"/>
                <w:color w:val="000000"/>
                <w:sz w:val="18"/>
                <w:szCs w:val="18"/>
                <w:lang w:val="el-GR"/>
              </w:rPr>
              <w:t xml:space="preserve"> στην προσφορά της.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13</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 xml:space="preserve">Η Ανάδοχος Εταιρεία θα πρέπει να χρησιμοποιεί για τις επισκευές και συντηρήσεις αμεταχείριστα γνήσια ή συμβατά υλικά και ανταλλακτικά. </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264"/>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14</w:t>
            </w:r>
          </w:p>
        </w:tc>
        <w:tc>
          <w:tcPr>
            <w:tcW w:w="9674" w:type="dxa"/>
            <w:shd w:val="clear" w:color="auto" w:fill="auto"/>
            <w:vAlign w:val="bottom"/>
            <w:hideMark/>
          </w:tcPr>
          <w:p w:rsidR="006C375D" w:rsidRPr="00ED2B73" w:rsidRDefault="006C375D" w:rsidP="0015514D">
            <w:pPr>
              <w:rPr>
                <w:rFonts w:ascii="Arial Narrow" w:hAnsi="Arial Narrow"/>
                <w:color w:val="000000"/>
                <w:sz w:val="18"/>
                <w:szCs w:val="18"/>
                <w:lang w:val="el-GR"/>
              </w:rPr>
            </w:pPr>
            <w:r w:rsidRPr="00ED2B73">
              <w:rPr>
                <w:rFonts w:ascii="Arial Narrow" w:hAnsi="Arial Narrow"/>
                <w:color w:val="000000"/>
                <w:sz w:val="18"/>
                <w:szCs w:val="18"/>
                <w:lang w:val="el-GR"/>
              </w:rPr>
              <w:t>Η Ανάδοχος Εταιρεία υποχρεούται να διαθέτει  ή να μπορεί να εξασφαλίσει επάρκεια ανταλλακτικών.</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r w:rsidR="006C375D" w:rsidRPr="00ED2B73" w:rsidTr="0015514D">
        <w:trPr>
          <w:trHeight w:val="490"/>
        </w:trPr>
        <w:tc>
          <w:tcPr>
            <w:tcW w:w="471" w:type="dxa"/>
            <w:shd w:val="clear" w:color="auto" w:fill="auto"/>
            <w:noWrap/>
            <w:vAlign w:val="bottom"/>
            <w:hideMark/>
          </w:tcPr>
          <w:p w:rsidR="006C375D" w:rsidRPr="00ED2B73" w:rsidRDefault="006C375D" w:rsidP="0015514D">
            <w:pPr>
              <w:jc w:val="center"/>
              <w:rPr>
                <w:rFonts w:ascii="Arial Narrow" w:hAnsi="Arial Narrow"/>
                <w:b/>
                <w:bCs/>
                <w:color w:val="000000"/>
                <w:sz w:val="18"/>
                <w:szCs w:val="18"/>
              </w:rPr>
            </w:pPr>
            <w:r w:rsidRPr="00ED2B73">
              <w:rPr>
                <w:rFonts w:ascii="Arial Narrow" w:hAnsi="Arial Narrow"/>
                <w:b/>
                <w:bCs/>
                <w:color w:val="000000"/>
                <w:sz w:val="18"/>
                <w:szCs w:val="18"/>
              </w:rPr>
              <w:t>15</w:t>
            </w:r>
          </w:p>
        </w:tc>
        <w:tc>
          <w:tcPr>
            <w:tcW w:w="9674" w:type="dxa"/>
            <w:shd w:val="clear" w:color="auto" w:fill="auto"/>
            <w:vAlign w:val="bottom"/>
            <w:hideMark/>
          </w:tcPr>
          <w:p w:rsidR="006C375D" w:rsidRPr="00ED2B73" w:rsidRDefault="006C375D" w:rsidP="0064751B">
            <w:pPr>
              <w:rPr>
                <w:rFonts w:ascii="Arial Narrow" w:hAnsi="Arial Narrow"/>
                <w:color w:val="000000"/>
                <w:sz w:val="18"/>
                <w:szCs w:val="18"/>
                <w:lang w:val="el-GR"/>
              </w:rPr>
            </w:pPr>
            <w:r w:rsidRPr="00ED2B73">
              <w:rPr>
                <w:rFonts w:ascii="Arial Narrow" w:hAnsi="Arial Narrow"/>
                <w:color w:val="000000"/>
                <w:sz w:val="18"/>
                <w:szCs w:val="18"/>
                <w:lang w:val="el-GR"/>
              </w:rPr>
              <w:t>Τα παλαιά, κατεστραμμένα ανταλλακτικά που αντικαθίστανται, π</w:t>
            </w:r>
            <w:r w:rsidR="0064751B">
              <w:rPr>
                <w:rFonts w:ascii="Arial Narrow" w:hAnsi="Arial Narrow"/>
                <w:color w:val="000000"/>
                <w:sz w:val="18"/>
                <w:szCs w:val="18"/>
                <w:lang w:val="el-GR"/>
              </w:rPr>
              <w:t xml:space="preserve">εριέρχονται στην κυριότητα της </w:t>
            </w:r>
            <w:r w:rsidRPr="00ED2B73">
              <w:rPr>
                <w:rFonts w:ascii="Arial Narrow" w:hAnsi="Arial Narrow"/>
                <w:color w:val="000000"/>
                <w:sz w:val="18"/>
                <w:szCs w:val="18"/>
                <w:lang w:val="el-GR"/>
              </w:rPr>
              <w:t>Αναθέτουσα</w:t>
            </w:r>
            <w:r w:rsidR="0064751B">
              <w:rPr>
                <w:rFonts w:ascii="Arial Narrow" w:hAnsi="Arial Narrow"/>
                <w:color w:val="000000"/>
                <w:sz w:val="18"/>
                <w:szCs w:val="18"/>
                <w:lang w:val="el-GR"/>
              </w:rPr>
              <w:t>ς</w:t>
            </w:r>
            <w:r w:rsidRPr="00ED2B73">
              <w:rPr>
                <w:rFonts w:ascii="Arial Narrow" w:hAnsi="Arial Narrow"/>
                <w:color w:val="000000"/>
                <w:sz w:val="18"/>
                <w:szCs w:val="18"/>
                <w:lang w:val="el-GR"/>
              </w:rPr>
              <w:t xml:space="preserve"> Αρχή</w:t>
            </w:r>
            <w:r w:rsidR="0064751B">
              <w:rPr>
                <w:rFonts w:ascii="Arial Narrow" w:hAnsi="Arial Narrow"/>
                <w:color w:val="000000"/>
                <w:sz w:val="18"/>
                <w:szCs w:val="18"/>
                <w:lang w:val="el-GR"/>
              </w:rPr>
              <w:t>ς</w:t>
            </w:r>
            <w:r w:rsidRPr="00ED2B73">
              <w:rPr>
                <w:rFonts w:ascii="Arial Narrow" w:hAnsi="Arial Narrow"/>
                <w:color w:val="000000"/>
                <w:sz w:val="18"/>
                <w:szCs w:val="18"/>
                <w:lang w:val="el-GR"/>
              </w:rPr>
              <w:t>.</w:t>
            </w:r>
          </w:p>
        </w:tc>
        <w:tc>
          <w:tcPr>
            <w:tcW w:w="969"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ΝΑΙ</w:t>
            </w:r>
          </w:p>
        </w:tc>
        <w:tc>
          <w:tcPr>
            <w:tcW w:w="1034"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c>
          <w:tcPr>
            <w:tcW w:w="1192" w:type="dxa"/>
            <w:shd w:val="clear" w:color="auto" w:fill="auto"/>
            <w:noWrap/>
            <w:vAlign w:val="bottom"/>
            <w:hideMark/>
          </w:tcPr>
          <w:p w:rsidR="006C375D" w:rsidRPr="00ED2B73" w:rsidRDefault="006C375D" w:rsidP="0015514D">
            <w:pPr>
              <w:jc w:val="center"/>
              <w:rPr>
                <w:rFonts w:ascii="Arial Narrow" w:hAnsi="Arial Narrow"/>
                <w:color w:val="000000"/>
                <w:sz w:val="18"/>
                <w:szCs w:val="18"/>
              </w:rPr>
            </w:pPr>
            <w:r w:rsidRPr="00ED2B73">
              <w:rPr>
                <w:rFonts w:ascii="Arial Narrow" w:hAnsi="Arial Narrow"/>
                <w:color w:val="000000"/>
                <w:sz w:val="18"/>
                <w:szCs w:val="18"/>
              </w:rPr>
              <w:t> </w:t>
            </w:r>
          </w:p>
        </w:tc>
      </w:tr>
    </w:tbl>
    <w:p w:rsidR="001868A0" w:rsidRDefault="001868A0"/>
    <w:sectPr w:rsidR="001868A0" w:rsidSect="006C375D">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C375D"/>
    <w:rsid w:val="00023E8A"/>
    <w:rsid w:val="001868A0"/>
    <w:rsid w:val="001E4E6A"/>
    <w:rsid w:val="001F3230"/>
    <w:rsid w:val="00264515"/>
    <w:rsid w:val="00274F82"/>
    <w:rsid w:val="003358A1"/>
    <w:rsid w:val="003448CF"/>
    <w:rsid w:val="003A7D93"/>
    <w:rsid w:val="004A4B9C"/>
    <w:rsid w:val="00596DFB"/>
    <w:rsid w:val="00621D7D"/>
    <w:rsid w:val="00642335"/>
    <w:rsid w:val="0064751B"/>
    <w:rsid w:val="006A73F2"/>
    <w:rsid w:val="006C375D"/>
    <w:rsid w:val="007A2316"/>
    <w:rsid w:val="007C3AD8"/>
    <w:rsid w:val="00815F4E"/>
    <w:rsid w:val="00926948"/>
    <w:rsid w:val="00B5285D"/>
    <w:rsid w:val="00B66106"/>
    <w:rsid w:val="00B83D1C"/>
    <w:rsid w:val="00B91FB7"/>
    <w:rsid w:val="00BA341A"/>
    <w:rsid w:val="00BA6983"/>
    <w:rsid w:val="00BC1591"/>
    <w:rsid w:val="00BC4F4B"/>
    <w:rsid w:val="00C07E6A"/>
    <w:rsid w:val="00C43A5F"/>
    <w:rsid w:val="00CF434F"/>
    <w:rsid w:val="00D05473"/>
    <w:rsid w:val="00D20D96"/>
    <w:rsid w:val="00E32896"/>
    <w:rsid w:val="00E33E1E"/>
    <w:rsid w:val="00E723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D"/>
    <w:pPr>
      <w:suppressAutoHyphens/>
      <w:spacing w:before="0" w:line="240" w:lineRule="auto"/>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10023</Characters>
  <Application>Microsoft Office Word</Application>
  <DocSecurity>0</DocSecurity>
  <Lines>83</Lines>
  <Paragraphs>23</Paragraphs>
  <ScaleCrop>false</ScaleCrop>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2022-11-24T12:33:00Z</dcterms:created>
  <dcterms:modified xsi:type="dcterms:W3CDTF">2023-05-17T08:06:00Z</dcterms:modified>
</cp:coreProperties>
</file>